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13" w:rsidRDefault="00C26513">
      <w:pPr>
        <w:adjustRightInd w:val="0"/>
        <w:snapToGrid w:val="0"/>
        <w:spacing w:line="540" w:lineRule="exact"/>
        <w:jc w:val="center"/>
        <w:rPr>
          <w:rFonts w:ascii="宋体" w:hAnsi="宋体" w:cs="仿宋" w:hint="eastAsia"/>
          <w:b/>
          <w:sz w:val="44"/>
          <w:szCs w:val="44"/>
        </w:rPr>
      </w:pPr>
    </w:p>
    <w:p w:rsidR="00C26513" w:rsidRDefault="00B95F19">
      <w:pPr>
        <w:adjustRightInd w:val="0"/>
        <w:snapToGrid w:val="0"/>
        <w:spacing w:line="540" w:lineRule="exact"/>
        <w:jc w:val="center"/>
        <w:rPr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第</w:t>
      </w:r>
      <w:r>
        <w:rPr>
          <w:rFonts w:ascii="宋体" w:hAnsi="宋体" w:cs="仿宋" w:hint="eastAsia"/>
          <w:b/>
          <w:sz w:val="44"/>
          <w:szCs w:val="44"/>
        </w:rPr>
        <w:t>十一</w:t>
      </w:r>
      <w:r>
        <w:rPr>
          <w:rFonts w:ascii="宋体" w:hAnsi="宋体" w:cs="仿宋" w:hint="eastAsia"/>
          <w:b/>
          <w:sz w:val="44"/>
          <w:szCs w:val="44"/>
        </w:rPr>
        <w:t>届</w:t>
      </w:r>
      <w:r>
        <w:rPr>
          <w:rFonts w:ascii="宋体" w:hAnsi="宋体" w:cs="仿宋" w:hint="eastAsia"/>
          <w:b/>
          <w:sz w:val="44"/>
          <w:szCs w:val="44"/>
        </w:rPr>
        <w:t>中部崛起法治</w:t>
      </w:r>
      <w:r>
        <w:rPr>
          <w:rFonts w:ascii="宋体" w:hAnsi="宋体" w:cs="仿宋" w:hint="eastAsia"/>
          <w:b/>
          <w:sz w:val="44"/>
          <w:szCs w:val="44"/>
        </w:rPr>
        <w:t>论坛</w:t>
      </w:r>
      <w:r>
        <w:rPr>
          <w:rFonts w:hint="eastAsia"/>
          <w:b/>
          <w:sz w:val="44"/>
          <w:szCs w:val="44"/>
        </w:rPr>
        <w:t>拟获奖论文终评结果公示</w:t>
      </w:r>
    </w:p>
    <w:p w:rsidR="00C26513" w:rsidRDefault="00C26513">
      <w:pPr>
        <w:adjustRightInd w:val="0"/>
        <w:snapToGrid w:val="0"/>
        <w:spacing w:line="540" w:lineRule="exact"/>
        <w:ind w:firstLine="630"/>
        <w:rPr>
          <w:rFonts w:ascii="仿宋_GB2312" w:eastAsia="仿宋_GB2312" w:hAnsi="仿宋_GB2312" w:cs="仿宋_GB2312"/>
          <w:sz w:val="20"/>
          <w:szCs w:val="20"/>
        </w:rPr>
      </w:pPr>
    </w:p>
    <w:p w:rsidR="00C26513" w:rsidRDefault="00B95F1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七大区域法治论坛是中国法学会和地方法学会引领、组织、推动法学研究，服务社会经济协调发展，推进法治中国建设的重要阵地。第</w:t>
      </w:r>
      <w:r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</w:rPr>
        <w:t>中部崛起法治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论坛为七大法治论坛之一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</w:rPr>
        <w:t>中部崛起法治</w:t>
      </w:r>
      <w:r>
        <w:rPr>
          <w:rFonts w:ascii="仿宋_GB2312" w:eastAsia="仿宋_GB2312" w:hAnsi="仿宋_GB2312" w:cs="仿宋_GB2312" w:hint="eastAsia"/>
          <w:sz w:val="32"/>
          <w:szCs w:val="32"/>
        </w:rPr>
        <w:t>论坛</w:t>
      </w:r>
      <w:r>
        <w:rPr>
          <w:rFonts w:ascii="仿宋_GB2312" w:eastAsia="仿宋_GB2312" w:hAnsi="仿宋_GB2312" w:cs="仿宋_GB2312" w:hint="eastAsia"/>
          <w:sz w:val="32"/>
          <w:szCs w:val="32"/>
        </w:rPr>
        <w:t>由中国法学会指导，中部六省法学会共同主办，江西省法学会承办。论坛的主题是：“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乡村振兴战略与法治服务保障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”。本次论坛共征集到论文</w:t>
      </w:r>
      <w:r>
        <w:rPr>
          <w:rFonts w:ascii="仿宋_GB2312" w:eastAsia="仿宋_GB2312" w:hAnsi="仿宋_GB2312" w:cs="仿宋_GB2312" w:hint="eastAsia"/>
          <w:sz w:val="32"/>
          <w:szCs w:val="32"/>
        </w:rPr>
        <w:t>1228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</w:t>
      </w:r>
      <w:r>
        <w:rPr>
          <w:rFonts w:ascii="仿宋_GB2312" w:eastAsia="仿宋_GB2312" w:hAnsi="仿宋_GB2312" w:cs="仿宋_GB2312" w:hint="eastAsia"/>
          <w:sz w:val="32"/>
          <w:szCs w:val="32"/>
        </w:rPr>
        <w:t>论坛组委会完成论文初评后报送中国法学会会员部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中国法学会会员部进行论文学术不端检测，经检测共有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194</w:t>
      </w:r>
      <w:r>
        <w:rPr>
          <w:rFonts w:ascii="仿宋_GB2312" w:eastAsia="仿宋_GB2312" w:hAnsi="仿宋_GB2312" w:cs="仿宋_GB2312" w:hint="eastAsia"/>
          <w:sz w:val="32"/>
          <w:szCs w:val="32"/>
        </w:rPr>
        <w:t>篇论文符合要求，可以进入终评。终评委员会遵循论文要紧扣主题、密切联系实际的原则，采用书面双向匿名评审的方式，于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日对进入终评的论文进行了评审。终评委员会委员经过认真审阅，分别提出了一、二、三等拟获奖论文名单。根据多数评委意见，确定拟获奖论文共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篇，其中一等奖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篇，报终评委员会主席审核同意，现对拟获奖论文名单予以公示。公示期为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C26513" w:rsidRDefault="00B95F19">
      <w:pPr>
        <w:adjustRightInd w:val="0"/>
        <w:snapToGrid w:val="0"/>
        <w:spacing w:line="540" w:lineRule="exact"/>
        <w:ind w:firstLineChars="211" w:firstLine="67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公示期间，任何单位或个人如对附件中的拟获奖论文名单有异议，请与我们联系。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本届论坛终评委员会的组成人员为：</w:t>
      </w:r>
    </w:p>
    <w:p w:rsidR="00C26513" w:rsidRDefault="00B95F19">
      <w:pPr>
        <w:adjustRightInd w:val="0"/>
        <w:snapToGrid w:val="0"/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　席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王其江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中国法学会党组成员、副会长，第十二届全国人民代表大会常务委员会委员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委　员（按姓名拼音为序）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韩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中国国际经济法学会常务理事，中南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大学法学院教授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刘士国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中国法学会民法学研究会副会长，复旦大学法学院教授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谭启平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中国法学会民法学研究会副会长，西南政法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大学民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商法学院教授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中国法学会民法学研究会副会长，黑龙江大学教授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叶金强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南京大学法学院院长、教授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张新宝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中国法学会学术委员会委员，中国法学杂志社总编辑，中国人民大学法学院教授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jc w:val="left"/>
        <w:rPr>
          <w:rFonts w:ascii="仿宋_GB2312" w:hAnsi="仿宋_GB2312" w:cs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周江洪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浙江大学光华法学院常务副院长、党委副书记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、教授</w:t>
      </w:r>
    </w:p>
    <w:p w:rsidR="00C26513" w:rsidRDefault="00B95F19">
      <w:pPr>
        <w:adjustRightInd w:val="0"/>
        <w:snapToGrid w:val="0"/>
        <w:spacing w:line="540" w:lineRule="exact"/>
        <w:ind w:firstLineChars="111" w:firstLine="357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附件：第</w:t>
      </w:r>
      <w:r>
        <w:rPr>
          <w:rFonts w:ascii="仿宋" w:eastAsia="仿宋" w:hAnsi="仿宋" w:hint="eastAsia"/>
          <w:b/>
          <w:sz w:val="32"/>
          <w:szCs w:val="32"/>
        </w:rPr>
        <w:t>十一</w:t>
      </w:r>
      <w:r>
        <w:rPr>
          <w:rFonts w:ascii="仿宋" w:eastAsia="仿宋" w:hAnsi="仿宋" w:hint="eastAsia"/>
          <w:b/>
          <w:sz w:val="32"/>
          <w:szCs w:val="32"/>
        </w:rPr>
        <w:t>届</w:t>
      </w:r>
      <w:r>
        <w:rPr>
          <w:rFonts w:ascii="仿宋" w:eastAsia="仿宋" w:hAnsi="仿宋" w:hint="eastAsia"/>
          <w:b/>
          <w:sz w:val="32"/>
          <w:szCs w:val="32"/>
        </w:rPr>
        <w:t>中部崛起法治</w:t>
      </w:r>
      <w:r>
        <w:rPr>
          <w:rFonts w:ascii="仿宋" w:eastAsia="仿宋" w:hAnsi="仿宋" w:hint="eastAsia"/>
          <w:b/>
          <w:sz w:val="32"/>
          <w:szCs w:val="32"/>
        </w:rPr>
        <w:t>论坛拟获奖论文名单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26513" w:rsidRDefault="00B95F19">
      <w:pPr>
        <w:adjustRightInd w:val="0"/>
        <w:snapToGrid w:val="0"/>
        <w:spacing w:line="540" w:lineRule="exact"/>
        <w:ind w:firstLineChars="111" w:firstLine="355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bCs/>
          <w:sz w:val="32"/>
          <w:szCs w:val="32"/>
        </w:rPr>
        <w:t>010</w:t>
      </w:r>
      <w:r>
        <w:rPr>
          <w:rFonts w:ascii="仿宋" w:eastAsia="仿宋" w:hAnsi="仿宋" w:hint="eastAsia"/>
          <w:bCs/>
          <w:sz w:val="32"/>
          <w:szCs w:val="32"/>
        </w:rPr>
        <w:t>—</w:t>
      </w:r>
      <w:r>
        <w:rPr>
          <w:rFonts w:ascii="仿宋" w:eastAsia="仿宋" w:hAnsi="仿宋" w:hint="eastAsia"/>
          <w:bCs/>
          <w:sz w:val="32"/>
          <w:szCs w:val="32"/>
        </w:rPr>
        <w:t>66119963</w:t>
      </w:r>
    </w:p>
    <w:p w:rsidR="00C26513" w:rsidRDefault="00C26513">
      <w:pPr>
        <w:adjustRightInd w:val="0"/>
        <w:snapToGrid w:val="0"/>
        <w:spacing w:line="540" w:lineRule="exact"/>
        <w:ind w:firstLineChars="111" w:firstLine="222"/>
        <w:rPr>
          <w:rFonts w:ascii="仿宋" w:eastAsia="仿宋" w:hAnsi="仿宋"/>
          <w:sz w:val="20"/>
          <w:szCs w:val="20"/>
        </w:rPr>
      </w:pPr>
    </w:p>
    <w:p w:rsidR="00C26513" w:rsidRDefault="00B95F19">
      <w:pPr>
        <w:adjustRightInd w:val="0"/>
        <w:snapToGrid w:val="0"/>
        <w:spacing w:line="540" w:lineRule="exact"/>
        <w:ind w:firstLineChars="111" w:firstLine="22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20"/>
          <w:szCs w:val="20"/>
        </w:rPr>
        <w:t xml:space="preserve">            </w:t>
      </w:r>
      <w:r>
        <w:rPr>
          <w:rFonts w:ascii="仿宋" w:eastAsia="仿宋" w:hAnsi="仿宋" w:hint="eastAsia"/>
          <w:b/>
          <w:sz w:val="20"/>
          <w:szCs w:val="20"/>
        </w:rPr>
        <w:t xml:space="preserve">                              </w:t>
      </w:r>
      <w:r>
        <w:rPr>
          <w:rFonts w:ascii="仿宋" w:eastAsia="仿宋" w:hAnsi="仿宋" w:hint="eastAsia"/>
          <w:b/>
          <w:sz w:val="32"/>
          <w:szCs w:val="32"/>
        </w:rPr>
        <w:t>中国法学会会员部</w:t>
      </w:r>
    </w:p>
    <w:p w:rsidR="00C26513" w:rsidRDefault="00B95F19">
      <w:pPr>
        <w:adjustRightInd w:val="0"/>
        <w:snapToGrid w:val="0"/>
        <w:spacing w:line="540" w:lineRule="exact"/>
        <w:ind w:firstLineChars="111" w:firstLine="357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十一</w:t>
      </w:r>
      <w:r>
        <w:rPr>
          <w:rFonts w:ascii="仿宋" w:eastAsia="仿宋" w:hAnsi="仿宋" w:hint="eastAsia"/>
          <w:b/>
          <w:sz w:val="32"/>
          <w:szCs w:val="32"/>
        </w:rPr>
        <w:t>届</w:t>
      </w:r>
      <w:r>
        <w:rPr>
          <w:rFonts w:ascii="仿宋" w:eastAsia="仿宋" w:hAnsi="仿宋" w:hint="eastAsia"/>
          <w:b/>
          <w:sz w:val="32"/>
          <w:szCs w:val="32"/>
        </w:rPr>
        <w:t>中部崛起法治</w:t>
      </w:r>
      <w:r>
        <w:rPr>
          <w:rFonts w:ascii="仿宋" w:eastAsia="仿宋" w:hAnsi="仿宋" w:hint="eastAsia"/>
          <w:b/>
          <w:sz w:val="32"/>
          <w:szCs w:val="32"/>
        </w:rPr>
        <w:t>论坛组委会</w:t>
      </w:r>
    </w:p>
    <w:p w:rsidR="00C26513" w:rsidRDefault="00B95F19">
      <w:pPr>
        <w:adjustRightInd w:val="0"/>
        <w:snapToGrid w:val="0"/>
        <w:spacing w:line="540" w:lineRule="exact"/>
        <w:ind w:firstLineChars="111" w:firstLine="357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/>
          <w:sz w:val="32"/>
          <w:szCs w:val="32"/>
        </w:rPr>
        <w:t>2018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10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15</w:t>
      </w:r>
      <w:r>
        <w:rPr>
          <w:rFonts w:ascii="仿宋" w:eastAsia="仿宋" w:hAnsi="仿宋" w:hint="eastAsia"/>
          <w:b/>
          <w:sz w:val="32"/>
          <w:szCs w:val="32"/>
        </w:rPr>
        <w:t>日</w:t>
      </w:r>
    </w:p>
    <w:p w:rsidR="00C26513" w:rsidRDefault="00C26513">
      <w:pPr>
        <w:adjustRightInd w:val="0"/>
        <w:snapToGrid w:val="0"/>
        <w:spacing w:line="54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C26513" w:rsidRDefault="00C26513">
      <w:pPr>
        <w:adjustRightInd w:val="0"/>
        <w:snapToGrid w:val="0"/>
        <w:spacing w:line="54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C26513" w:rsidRDefault="00B95F19">
      <w:pPr>
        <w:spacing w:line="240" w:lineRule="atLeas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第十一届中部崛起法治论坛获奖论文名单</w:t>
      </w:r>
    </w:p>
    <w:p w:rsidR="00C26513" w:rsidRDefault="00B95F19">
      <w:pPr>
        <w:spacing w:line="240" w:lineRule="atLeas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/>
          <w:b/>
          <w:sz w:val="36"/>
          <w:szCs w:val="36"/>
        </w:rPr>
        <w:t>(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共</w:t>
      </w:r>
      <w:r>
        <w:rPr>
          <w:rFonts w:ascii="仿宋_GB2312" w:eastAsia="仿宋_GB2312" w:hAnsi="仿宋_GB2312" w:cs="仿宋_GB2312"/>
          <w:b/>
          <w:sz w:val="36"/>
          <w:szCs w:val="36"/>
        </w:rPr>
        <w:t>80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篇</w:t>
      </w:r>
      <w:r>
        <w:rPr>
          <w:rFonts w:ascii="仿宋_GB2312" w:eastAsia="仿宋_GB2312" w:hAnsi="仿宋_GB2312" w:cs="仿宋_GB2312"/>
          <w:b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同一等次排名不分先后</w:t>
      </w:r>
      <w:r>
        <w:rPr>
          <w:rFonts w:ascii="仿宋_GB2312" w:eastAsia="仿宋_GB2312" w:hAnsi="仿宋_GB2312" w:cs="仿宋_GB2312"/>
          <w:b/>
          <w:sz w:val="36"/>
          <w:szCs w:val="36"/>
        </w:rPr>
        <w:t>)</w:t>
      </w:r>
    </w:p>
    <w:p w:rsidR="00C26513" w:rsidRDefault="00C26513">
      <w:pPr>
        <w:adjustRightInd w:val="0"/>
        <w:snapToGrid w:val="0"/>
        <w:spacing w:line="54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tbl>
      <w:tblPr>
        <w:tblW w:w="10596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96"/>
        <w:gridCol w:w="1349"/>
        <w:gridCol w:w="3351"/>
      </w:tblGrid>
      <w:tr w:rsidR="00C26513">
        <w:trPr>
          <w:trHeight w:val="20"/>
          <w:jc w:val="center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一等奖（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篇）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农民集体决议效力规则之检视与重构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赵新龙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安徽财经大学法学院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黄河滩区村镇迁建问题研究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陈新蕾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河南省范县政研室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乡村社会治理中涉精神病辩护刑案的难题与破解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sz w:val="28"/>
                <w:szCs w:val="28"/>
              </w:rPr>
              <w:t>H</w:t>
            </w:r>
            <w:r>
              <w:rPr>
                <w:rFonts w:ascii="宋体" w:hAnsi="宋体" w:cs="宋体" w:hint="eastAsia"/>
                <w:sz w:val="28"/>
                <w:szCs w:val="28"/>
              </w:rPr>
              <w:t>市两级法院精神病辩护认定情况为视角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黄美容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湖南省麻阳苗族自治县人民法院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抢抓机遇、不负时代，开创农地经营权信托新局面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以安徽省土地流转绩效分析为支撑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乾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安徽省安庆师范大学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城乡一体化背景下农村社区治理的现代转型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安徽财经大学法学院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农村土地承包关系中农民集体权利保护：反思与重构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易高翔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农村精准扶贫失准的程序规制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张恩典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南昌大学法学院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农村脱贫攻坚的法治思考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王承强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江西省兴国县人民法院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农村环境民事案件审判问题研究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张亚芸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山西省黎城县人民法院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Pr="0080738D" w:rsidRDefault="00B95F19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0738D">
              <w:rPr>
                <w:rFonts w:ascii="宋体" w:hAnsi="宋体" w:cs="宋体" w:hint="eastAsia"/>
                <w:b/>
                <w:sz w:val="28"/>
                <w:szCs w:val="28"/>
              </w:rPr>
              <w:t>二等奖（</w:t>
            </w:r>
            <w:r w:rsidRPr="0080738D">
              <w:rPr>
                <w:rFonts w:ascii="宋体" w:hAnsi="宋体" w:cs="宋体"/>
                <w:b/>
                <w:sz w:val="28"/>
                <w:szCs w:val="28"/>
              </w:rPr>
              <w:t>23</w:t>
            </w:r>
            <w:r w:rsidRPr="0080738D">
              <w:rPr>
                <w:rFonts w:ascii="宋体" w:hAnsi="宋体" w:cs="宋体" w:hint="eastAsia"/>
                <w:b/>
                <w:sz w:val="28"/>
                <w:szCs w:val="28"/>
              </w:rPr>
              <w:t>篇）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逆向决定原理与乡镇垃圾治理制度设计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疏义红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大学法学实验教学中心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从“身份安排”到“契约加入”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城乡一体化改革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视阀下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农村集体经济组织成员资格争议及其法律应对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刘海涛</w:t>
            </w:r>
            <w:r>
              <w:rPr>
                <w:rFonts w:ascii="宋体" w:cs="宋体"/>
                <w:sz w:val="28"/>
                <w:szCs w:val="28"/>
              </w:rPr>
              <w:br/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刘毅梅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湖南省宁乡市人民法院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农村土地经营权流转的法律风险防范研究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陈丽秀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安徽省蚌埠市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上区人民检察院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新时代我国农村金融机构的本源回归及法律规制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耿志强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洛阳理工学院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农村公共品供给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侧改革的财税保障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机制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陈文君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论我国乡村讨债行为的法律规制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朱红梅</w:t>
            </w:r>
          </w:p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王慧梅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湖南科技大学法学与公共管理学院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民俗习惯识别和运用之程序构建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杨秋萍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湖南省通道县人民法院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关于我国农村宅基地退出的立法构想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吕军书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杨毅斌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河南师范大学法学院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反思与重构：乡村振兴战略视阈下乡村治理网格化管理的逻辑与进路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基于中部</w:t>
            </w:r>
            <w:r>
              <w:rPr>
                <w:rFonts w:ascii="宋体" w:hAnsi="宋体" w:cs="宋体"/>
                <w:sz w:val="28"/>
                <w:szCs w:val="28"/>
              </w:rPr>
              <w:t>H</w:t>
            </w:r>
            <w:r>
              <w:rPr>
                <w:rFonts w:ascii="宋体" w:hAnsi="宋体" w:cs="宋体" w:hint="eastAsia"/>
                <w:sz w:val="28"/>
                <w:szCs w:val="28"/>
              </w:rPr>
              <w:t>省</w:t>
            </w:r>
            <w:r>
              <w:rPr>
                <w:rFonts w:ascii="宋体" w:hAnsi="宋体" w:cs="宋体"/>
                <w:sz w:val="28"/>
                <w:szCs w:val="28"/>
              </w:rPr>
              <w:t>X</w:t>
            </w:r>
            <w:r>
              <w:rPr>
                <w:rFonts w:ascii="宋体" w:hAnsi="宋体" w:cs="宋体" w:hint="eastAsia"/>
                <w:sz w:val="28"/>
                <w:szCs w:val="28"/>
              </w:rPr>
              <w:t>县新时代社会治理创新的考察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胡剑涛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王彦平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湖南省新田县人民法院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精准扶贫中贫困户识别的规范研究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基于省级扶贫开发条例的分析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祁小敏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张俊杰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“三权分置”下农村土地承包经营权制度的法律思考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以《农村土地承包法（修订案草案）》</w:t>
            </w: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相关修法为视角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段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长治学院法律与经济学系</w:t>
            </w:r>
          </w:p>
          <w:p w:rsidR="00C26513" w:rsidRDefault="00C2651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乡村振兴战略背景下的村规民约问题探析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侯殿收</w:t>
            </w:r>
            <w:proofErr w:type="gramEnd"/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朱玲玲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河南省濮阳市委党校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乡村土地改革中的软法治理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以农地征收行为规制为例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李长健</w:t>
            </w:r>
          </w:p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李曦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华中科技大学法学院</w:t>
            </w:r>
          </w:p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华中农业大学文法学院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论我国分批次建设用地征地模式的形成机理、影响及其改革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欧阳君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君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江西财经大学法学院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公序良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俗原则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在乡村治理中适用的困境与对策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陈伟华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赣南师范大学政治与法律学院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乡村振兴视野的地理标志保护探析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赵小平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普惠金融的制度供给困境及其矫正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张旭娟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田佳鹭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山西财经大学法学院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教育扶贫的法治保障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周子良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薛小波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农村宅基地“三权分置”法律问题研究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雷兰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乐秀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秀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太原理工大学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法语境下精准扶贫司法保障路径</w:t>
            </w:r>
          </w:p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以保康法院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所扶贫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的多个村为例探路“保康方案”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何仁兵</w:t>
            </w:r>
          </w:p>
          <w:p w:rsidR="00C26513" w:rsidRDefault="00B95F19">
            <w:pPr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李善仕</w:t>
            </w:r>
          </w:p>
          <w:p w:rsidR="00C26513" w:rsidRDefault="00B95F19">
            <w:pPr>
              <w:adjustRightInd w:val="0"/>
              <w:spacing w:line="28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杨先华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湖北省保康县人民法院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防范农村社会稳定风险法治机制研究</w:t>
            </w:r>
          </w:p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基于湖北</w:t>
            </w:r>
            <w:r>
              <w:rPr>
                <w:rFonts w:ascii="宋体" w:hAnsi="宋体" w:cs="宋体"/>
                <w:sz w:val="28"/>
                <w:szCs w:val="28"/>
              </w:rPr>
              <w:t>Y</w:t>
            </w:r>
            <w:r>
              <w:rPr>
                <w:rFonts w:ascii="宋体" w:hAnsi="宋体" w:cs="宋体" w:hint="eastAsia"/>
                <w:sz w:val="28"/>
                <w:szCs w:val="28"/>
              </w:rPr>
              <w:t>县</w:t>
            </w:r>
            <w:r>
              <w:rPr>
                <w:rFonts w:ascii="宋体" w:hAnsi="宋体" w:cs="宋体"/>
                <w:sz w:val="28"/>
                <w:szCs w:val="28"/>
              </w:rPr>
              <w:t>L</w:t>
            </w:r>
            <w:r>
              <w:rPr>
                <w:rFonts w:ascii="宋体" w:hAnsi="宋体" w:cs="宋体" w:hint="eastAsia"/>
                <w:sz w:val="28"/>
                <w:szCs w:val="28"/>
              </w:rPr>
              <w:t>镇调研的思考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樊盛林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湖北省孝感市委党校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基层法院推行家事调解及其成效的实证分析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曹斐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余华新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江西省湖口县人民法院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乡村振兴语境下生态休闲旅游农业环保法治策</w:t>
            </w: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略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康诚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江西省委政法委</w:t>
            </w:r>
          </w:p>
        </w:tc>
      </w:tr>
      <w:tr w:rsidR="00C26513">
        <w:trPr>
          <w:trHeight w:val="20"/>
          <w:jc w:val="center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Pr="001D3FC5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1D3FC5"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三等奖（</w:t>
            </w:r>
            <w:r w:rsidRPr="001D3FC5">
              <w:rPr>
                <w:rFonts w:ascii="宋体" w:hAnsi="宋体" w:cs="宋体"/>
                <w:b/>
                <w:sz w:val="28"/>
                <w:szCs w:val="28"/>
              </w:rPr>
              <w:t>48</w:t>
            </w:r>
            <w:r w:rsidRPr="001D3FC5">
              <w:rPr>
                <w:rFonts w:ascii="宋体" w:hAnsi="宋体" w:cs="宋体" w:hint="eastAsia"/>
                <w:b/>
                <w:sz w:val="28"/>
                <w:szCs w:val="28"/>
              </w:rPr>
              <w:t>篇）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太原市创建乡村法治诊所探研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太原市法学会课题组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山西省</w:t>
            </w:r>
            <w:r>
              <w:rPr>
                <w:rFonts w:ascii="宋体" w:hAnsi="宋体" w:cs="宋体" w:hint="eastAsia"/>
                <w:sz w:val="28"/>
                <w:szCs w:val="28"/>
              </w:rPr>
              <w:t>太原市法学会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人民法庭参与乡村治理、服务乡村振兴的多元化解思路探析</w:t>
            </w:r>
            <w:r>
              <w:rPr>
                <w:rFonts w:ascii="宋体" w:hAnsi="宋体" w:cs="宋体"/>
                <w:sz w:val="28"/>
                <w:szCs w:val="28"/>
              </w:rPr>
              <w:t xml:space="preserve">-- </w:t>
            </w:r>
            <w:r>
              <w:rPr>
                <w:rFonts w:ascii="宋体" w:hAnsi="宋体" w:cs="宋体" w:hint="eastAsia"/>
                <w:sz w:val="28"/>
                <w:szCs w:val="28"/>
              </w:rPr>
              <w:t>以“德治、自治、法治”递进式大调解格局为视角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张青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安徽省滁州市中级人民法院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乡村振兴战略中的三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治结合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实证研究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sz w:val="28"/>
                <w:szCs w:val="28"/>
              </w:rPr>
              <w:t>省</w:t>
            </w:r>
            <w:r>
              <w:rPr>
                <w:rFonts w:ascii="宋体" w:hAnsi="宋体" w:cs="宋体"/>
                <w:sz w:val="28"/>
                <w:szCs w:val="28"/>
              </w:rPr>
              <w:t>W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县土永村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为实证分析样本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安徽省望江县人民检察院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乡村振兴战略背景下基层新型法律服务机制构建研究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河南省邓州市人民法院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外部性理论视域下的农村宅基地“三权分置”政策分析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吕宗澄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夏松洁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南华大学经济与法学学院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湘潭大学法学院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新型农村养老保险法律问题研究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魏超梅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基层纠纷“一站式”解决的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考量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明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丁武军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河南省鹤壁市中级人民法院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新型农业经营主体制度法律问题研究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小岗村土地依法流转新思路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俊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安徽省清流律师事务所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12" w:lineRule="atLeas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乡村黑社会性质组织的发展轨迹透视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干晋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湖北省武汉市江岸区人民检察院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黑涉恶法律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毛伟</w:t>
            </w:r>
          </w:p>
          <w:p w:rsidR="00C26513" w:rsidRDefault="00B95F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蔡科云</w:t>
            </w:r>
          </w:p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徐迅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湖北省宜城市人民检察院</w:t>
            </w:r>
          </w:p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湖北大学政法与公共管理学院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乡村社会人情面子的法治治理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以基层法院办理刑事案件的行动逻辑为视角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远太</w:t>
            </w:r>
            <w:r>
              <w:rPr>
                <w:rFonts w:ascii="宋体" w:cs="宋体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sz w:val="28"/>
                <w:szCs w:val="28"/>
              </w:rPr>
              <w:t>陆银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湖南省怀化市中级人民法院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论比例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原则在集体土地征收补偿中的适用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基于对《宪法》第</w:t>
            </w:r>
            <w:r>
              <w:rPr>
                <w:rFonts w:ascii="宋体" w:hAnsi="宋体" w:cs="宋体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sz w:val="28"/>
                <w:szCs w:val="28"/>
              </w:rPr>
              <w:t>条第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款的解读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段懿桓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郑州大学法学院</w:t>
            </w:r>
          </w:p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山西省泽州县人民检察院</w:t>
            </w:r>
          </w:p>
        </w:tc>
      </w:tr>
      <w:tr w:rsidR="00C26513">
        <w:trPr>
          <w:trHeight w:val="476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乡村黑恶势力犯罪的生成及防控对策研究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张帆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张天虹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“三权分置”农地制度政策、实践及法律化</w:t>
            </w:r>
            <w:r>
              <w:rPr>
                <w:rFonts w:ascii="宋体" w:cs="宋体"/>
                <w:sz w:val="28"/>
                <w:szCs w:val="28"/>
              </w:rPr>
              <w:t>---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基于新型农业经营主体培育的思考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孙朝伦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安徽省颍上县检察院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论社会法基本原则下弱势群体权利保护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郝守琴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人民法庭参与转型期乡村社会治理的困惑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对西部</w:t>
            </w:r>
            <w:r>
              <w:rPr>
                <w:rFonts w:ascii="宋体" w:hAnsi="宋体" w:cs="宋体"/>
                <w:sz w:val="28"/>
                <w:szCs w:val="28"/>
              </w:rPr>
              <w:t>C</w:t>
            </w:r>
            <w:r>
              <w:rPr>
                <w:rFonts w:ascii="宋体" w:hAnsi="宋体" w:cs="宋体" w:hint="eastAsia"/>
                <w:sz w:val="28"/>
                <w:szCs w:val="28"/>
              </w:rPr>
              <w:t>县法院人民法庭的调查与分析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12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吴晓黎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12" w:lineRule="atLeas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湖北省长阳县人民法院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多元主体共治下我国乡村治理法治化的现状、问题与路径初探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张俊</w:t>
            </w:r>
          </w:p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陈佩瑶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华中农业大学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传统习俗与行政执法的平衡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sz w:val="28"/>
                <w:szCs w:val="28"/>
              </w:rPr>
              <w:t>T</w:t>
            </w:r>
            <w:r>
              <w:rPr>
                <w:rFonts w:ascii="宋体" w:hAnsi="宋体" w:cs="宋体" w:hint="eastAsia"/>
                <w:sz w:val="28"/>
                <w:szCs w:val="28"/>
              </w:rPr>
              <w:t>县农村殡葬改革为例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杜娟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华中科技大学法学院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农村老年护理法律问题研究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李扬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论扶贫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攻坚语境下留守儿童法律权益保护机制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黄冬梅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湖南省新邵县人民法院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农村土地承包经营权入股法律问题研究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孙拉拉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湖南省邵东县人民检察院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城镇化进程中涉农职务犯罪分析和预防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陈荣梅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</w:p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李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琴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湖南省嘉禾县检察院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土地承包经营权流转的现实困境和制度应对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赖丽华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谢德城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江西省社科院法治研究所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当前农村涉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黑涉恶犯罪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实证研究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sz w:val="28"/>
                <w:szCs w:val="28"/>
              </w:rPr>
              <w:t>100</w:t>
            </w:r>
            <w:r>
              <w:rPr>
                <w:rFonts w:ascii="宋体" w:hAnsi="宋体" w:cs="宋体" w:hint="eastAsia"/>
                <w:sz w:val="28"/>
                <w:szCs w:val="28"/>
              </w:rPr>
              <w:t>个农村涉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黑涉恶犯罪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案例为例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罗钢林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徐光华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东华理工大学长江学院</w:t>
            </w:r>
          </w:p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江西财经大学法学院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当前乡村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涉骗类犯罪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分析及防治对策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管少忠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王海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江西省信丰县人民检察院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农业生产中非法狩猎行为除罪化反思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郎燕玲</w:t>
            </w:r>
            <w:proofErr w:type="gramEnd"/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江勇军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江西省婺源县人民法院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法治信仰与路径建设：农村法治文化建设探析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庄颖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王肖飞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南昌文理学院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基层法院审理涉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黑涉恶犯罪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案件的疑难问题研究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谢祖和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江西省分宜县人民法院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“有意”的法律漏洞与“多数人暴政”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之司法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解决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农村土地补偿费分配纠纷之“出嫁女”问题探析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朱永泉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江西省广昌县人民法院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乡村治理中的法治难点与司法回应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以中部某省</w:t>
            </w:r>
            <w:r>
              <w:rPr>
                <w:rFonts w:ascii="宋体" w:hAnsi="宋体" w:cs="宋体"/>
                <w:sz w:val="28"/>
                <w:szCs w:val="28"/>
              </w:rPr>
              <w:t>T</w:t>
            </w:r>
            <w:r>
              <w:rPr>
                <w:rFonts w:ascii="宋体" w:hAnsi="宋体" w:cs="宋体" w:hint="eastAsia"/>
                <w:sz w:val="28"/>
                <w:szCs w:val="28"/>
              </w:rPr>
              <w:t>镇基层人民法庭参与乡村治理实践为切入点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赵晓林</w:t>
            </w:r>
          </w:p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王福英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江西省赣州市南康区人民法院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集体经营性建设用地流转中农民权益保护的法律分析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王小芳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集体土地上房屋征收与补偿法律规制研究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山西省太原市万柏林区人民检察院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村镇银行准入与退出法律问题研究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李佳勋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河南师范大学法学院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精准脱贫攻坚战法治保障研究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基于责任主体的视角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黄小龙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湖北省恩施市人民法院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乡村黑社会性质组织犯罪问题研究及解决路径探析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张晶</w:t>
            </w:r>
          </w:p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张霄月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湖北省襄阳市襄城区人民检察院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扫黑除恶背景下基层涉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黑治理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及对策研究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李旭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djustRightInd w:val="0"/>
              <w:spacing w:line="3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大学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遏制村干部涉黑犯罪的达摩克利斯之剑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危俊洁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湖南省华容县人民法院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农村留守儿童权益保障问题研究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王悦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悦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农村基本医疗保障问题研究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爽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中南大学法学院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乡村环境治理的出路：环境犯罪附条件不起诉制度研究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钟梅兰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江西省信丰县人民检察院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新型农业经营主体制度法律问题研究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刘曜辉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江西理工大学文法学院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传统与现代交叉：农村离婚案件中自建房分割中妇女权益保障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黄小红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江西省吉安市中级人民法院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黑涉恶治理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的法律问题研究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朱永磊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河南省郑州市公安局</w:t>
            </w:r>
          </w:p>
        </w:tc>
      </w:tr>
      <w:tr w:rsidR="00C26513">
        <w:trPr>
          <w:trHeight w:val="503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乡村治理法治研究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邱利民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河南省临颍县人民检察院</w:t>
            </w:r>
          </w:p>
        </w:tc>
      </w:tr>
      <w:tr w:rsidR="00C26513">
        <w:trPr>
          <w:trHeight w:val="411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帝舜与中国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法律起源浅析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牛勇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山西省沁水县国家税务局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土地经营权的法律厘定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郝娜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山西省法学会会员、大连理工大学博士生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从“枫桥经验”到检察答卷：“村霸”犯罪整治中的分层规制与矛盾修复</w:t>
            </w:r>
            <w:r>
              <w:rPr>
                <w:rFonts w:ascii="宋体" w:hAnsi="宋体" w:cs="宋体"/>
                <w:sz w:val="28"/>
                <w:szCs w:val="28"/>
              </w:rPr>
              <w:t>——</w:t>
            </w:r>
            <w:r>
              <w:rPr>
                <w:rFonts w:ascii="宋体" w:hAnsi="宋体" w:cs="宋体" w:hint="eastAsia"/>
                <w:sz w:val="28"/>
                <w:szCs w:val="28"/>
              </w:rPr>
              <w:t>检察机关参与基层治理和乡村秩序再造的另一种思路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王庆</w:t>
            </w:r>
          </w:p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刘毅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江西省吉安市人民检察院</w:t>
            </w:r>
          </w:p>
        </w:tc>
      </w:tr>
      <w:tr w:rsidR="00C26513">
        <w:trPr>
          <w:trHeight w:val="20"/>
          <w:jc w:val="center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农村土地征收协议案件审理若干问题探析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李国红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513" w:rsidRDefault="00B95F19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江西省吉安市中级人民法院</w:t>
            </w:r>
          </w:p>
        </w:tc>
      </w:tr>
    </w:tbl>
    <w:p w:rsidR="00C26513" w:rsidRDefault="00C26513">
      <w:pPr>
        <w:jc w:val="left"/>
        <w:rPr>
          <w:rFonts w:ascii="宋体" w:hAnsi="宋体" w:cs="宋体"/>
          <w:sz w:val="28"/>
          <w:szCs w:val="28"/>
        </w:rPr>
      </w:pPr>
    </w:p>
    <w:sectPr w:rsidR="00C26513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19" w:rsidRDefault="00B95F19">
      <w:r>
        <w:separator/>
      </w:r>
    </w:p>
  </w:endnote>
  <w:endnote w:type="continuationSeparator" w:id="0">
    <w:p w:rsidR="00B95F19" w:rsidRDefault="00B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13" w:rsidRDefault="00B95F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513" w:rsidRDefault="00B95F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738D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26513" w:rsidRDefault="00B95F1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738D">
                      <w:rPr>
                        <w:noProof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19" w:rsidRDefault="00B95F19">
      <w:r>
        <w:separator/>
      </w:r>
    </w:p>
  </w:footnote>
  <w:footnote w:type="continuationSeparator" w:id="0">
    <w:p w:rsidR="00B95F19" w:rsidRDefault="00B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3954"/>
    <w:rsid w:val="001D3FC5"/>
    <w:rsid w:val="001E529F"/>
    <w:rsid w:val="003E21BF"/>
    <w:rsid w:val="0080738D"/>
    <w:rsid w:val="00B95F19"/>
    <w:rsid w:val="00C26513"/>
    <w:rsid w:val="00D74233"/>
    <w:rsid w:val="00DD4904"/>
    <w:rsid w:val="01D178D9"/>
    <w:rsid w:val="024947A4"/>
    <w:rsid w:val="03896BCF"/>
    <w:rsid w:val="067B6742"/>
    <w:rsid w:val="074037B0"/>
    <w:rsid w:val="08B27546"/>
    <w:rsid w:val="091628AA"/>
    <w:rsid w:val="0CC87FA7"/>
    <w:rsid w:val="116316E9"/>
    <w:rsid w:val="11CD1286"/>
    <w:rsid w:val="15F2057C"/>
    <w:rsid w:val="181B71D1"/>
    <w:rsid w:val="1A5C0D2D"/>
    <w:rsid w:val="1A623CF7"/>
    <w:rsid w:val="1B520470"/>
    <w:rsid w:val="1DC122DE"/>
    <w:rsid w:val="1EE96ACF"/>
    <w:rsid w:val="209F4C50"/>
    <w:rsid w:val="25A06F89"/>
    <w:rsid w:val="278A5C13"/>
    <w:rsid w:val="27DD66A9"/>
    <w:rsid w:val="2EE84250"/>
    <w:rsid w:val="2FBE2CC7"/>
    <w:rsid w:val="31787F26"/>
    <w:rsid w:val="342A22BF"/>
    <w:rsid w:val="3555089B"/>
    <w:rsid w:val="36F03604"/>
    <w:rsid w:val="3D772401"/>
    <w:rsid w:val="3F3F4E33"/>
    <w:rsid w:val="42791E2B"/>
    <w:rsid w:val="42A97970"/>
    <w:rsid w:val="46C45259"/>
    <w:rsid w:val="47217F72"/>
    <w:rsid w:val="49441D74"/>
    <w:rsid w:val="497633C7"/>
    <w:rsid w:val="4B3E0451"/>
    <w:rsid w:val="4C22632C"/>
    <w:rsid w:val="4CEF6427"/>
    <w:rsid w:val="53616EC9"/>
    <w:rsid w:val="53664CA4"/>
    <w:rsid w:val="56E21CE6"/>
    <w:rsid w:val="58D60AA2"/>
    <w:rsid w:val="5A9A5AF0"/>
    <w:rsid w:val="5C677F3C"/>
    <w:rsid w:val="5CA443B1"/>
    <w:rsid w:val="5EDD7BF5"/>
    <w:rsid w:val="5FE43DCD"/>
    <w:rsid w:val="609101BD"/>
    <w:rsid w:val="61713D7F"/>
    <w:rsid w:val="6335624A"/>
    <w:rsid w:val="63722E86"/>
    <w:rsid w:val="650B6B7E"/>
    <w:rsid w:val="681F3A9B"/>
    <w:rsid w:val="694B1C97"/>
    <w:rsid w:val="736A7B97"/>
    <w:rsid w:val="78062124"/>
    <w:rsid w:val="78653954"/>
    <w:rsid w:val="793837D7"/>
    <w:rsid w:val="797E46DD"/>
    <w:rsid w:val="7A372A63"/>
    <w:rsid w:val="7BC9798B"/>
    <w:rsid w:val="7CA96CD5"/>
    <w:rsid w:val="7F8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滴迪</dc:creator>
  <cp:lastModifiedBy>Lenovo-Thinkcentre</cp:lastModifiedBy>
  <cp:revision>5</cp:revision>
  <cp:lastPrinted>2018-10-09T05:43:00Z</cp:lastPrinted>
  <dcterms:created xsi:type="dcterms:W3CDTF">2018-09-21T00:23:00Z</dcterms:created>
  <dcterms:modified xsi:type="dcterms:W3CDTF">2018-10-15T07:23:00Z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